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7" w:name="_GoBack"/>
      <w:bookmarkEnd w:id="7"/>
      <w:r>
        <w:rPr>
          <w:rFonts w:hint="eastAsia" w:ascii="黑体" w:hAnsi="黑体" w:eastAsia="黑体"/>
          <w:sz w:val="36"/>
          <w:szCs w:val="36"/>
        </w:rPr>
        <w:t>拟申报</w:t>
      </w:r>
      <w:r>
        <w:rPr>
          <w:rFonts w:ascii="黑体" w:hAnsi="黑体" w:eastAsia="黑体"/>
          <w:sz w:val="36"/>
          <w:szCs w:val="36"/>
        </w:rPr>
        <w:t>2023年度国家科学技术进步奖项目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公示内容</w:t>
      </w:r>
    </w:p>
    <w:p>
      <w:pPr>
        <w:jc w:val="center"/>
        <w:rPr>
          <w:rFonts w:ascii="宋体" w:hAnsi="宋体" w:eastAsia="宋体"/>
          <w:sz w:val="30"/>
          <w:szCs w:val="30"/>
        </w:rPr>
      </w:pPr>
    </w:p>
    <w:p>
      <w:pPr>
        <w:jc w:val="center"/>
        <w:rPr>
          <w:rFonts w:ascii="宋体" w:hAnsi="宋体" w:eastAsia="宋体"/>
          <w:sz w:val="30"/>
          <w:szCs w:val="30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b/>
          <w:bCs/>
        </w:rPr>
        <w:t>一、推荐奖种：</w:t>
      </w:r>
      <w:bookmarkStart w:id="0" w:name="_Hlk155818036"/>
      <w:r>
        <w:rPr>
          <w:rFonts w:hint="eastAsia" w:ascii="宋体" w:hAnsi="宋体" w:eastAsia="宋体"/>
        </w:rPr>
        <w:t>国家科学技术进步奖</w:t>
      </w:r>
      <w:bookmarkEnd w:id="0"/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b/>
          <w:bCs/>
        </w:rPr>
        <w:t>二、</w:t>
      </w:r>
      <w:bookmarkStart w:id="1" w:name="_Hlk155808446"/>
      <w:r>
        <w:rPr>
          <w:rFonts w:ascii="宋体" w:hAnsi="宋体" w:eastAsia="宋体"/>
          <w:b/>
          <w:bCs/>
        </w:rPr>
        <w:t>项目名称：</w:t>
      </w:r>
      <w:r>
        <w:rPr>
          <w:rFonts w:hint="eastAsia" w:ascii="宋体" w:hAnsi="宋体" w:eastAsia="宋体"/>
        </w:rPr>
        <w:t>前列腺癌精准诊疗关键技术体系的建立及应用</w:t>
      </w:r>
      <w:bookmarkEnd w:id="1"/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b/>
          <w:bCs/>
        </w:rPr>
        <w:t>三、</w:t>
      </w:r>
      <w:bookmarkStart w:id="2" w:name="_Hlk155808459"/>
      <w:r>
        <w:rPr>
          <w:rFonts w:ascii="宋体" w:hAnsi="宋体" w:eastAsia="宋体"/>
          <w:b/>
          <w:bCs/>
        </w:rPr>
        <w:t>提名者</w:t>
      </w:r>
      <w:r>
        <w:rPr>
          <w:rFonts w:hint="eastAsia" w:ascii="宋体" w:hAnsi="宋体" w:eastAsia="宋体"/>
          <w:b/>
          <w:bCs/>
        </w:rPr>
        <w:t>（专家提名）：</w:t>
      </w:r>
      <w:bookmarkStart w:id="3" w:name="_Hlk155808481"/>
      <w:r>
        <w:rPr>
          <w:rFonts w:hint="eastAsia" w:ascii="宋体" w:hAnsi="宋体" w:eastAsia="宋体"/>
        </w:rPr>
        <w:t>张旭</w:t>
      </w:r>
      <w:bookmarkEnd w:id="2"/>
      <w:r>
        <w:rPr>
          <w:rFonts w:hint="eastAsia" w:ascii="宋体" w:hAnsi="宋体" w:eastAsia="宋体"/>
        </w:rPr>
        <w:t>（中国人民解放军总医院）、夏强（上海交通大学医学院附属仁济医院）、俞飚（中国科学院上海有机化学研究所）</w:t>
      </w:r>
    </w:p>
    <w:bookmarkEnd w:id="3"/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b/>
          <w:bCs/>
        </w:rPr>
        <w:t>四、提名等级</w:t>
      </w:r>
      <w:r>
        <w:rPr>
          <w:rFonts w:ascii="宋体" w:hAnsi="宋体" w:eastAsia="宋体"/>
        </w:rPr>
        <w:t>：</w:t>
      </w:r>
      <w:r>
        <w:rPr>
          <w:rFonts w:hint="eastAsia" w:ascii="宋体" w:hAnsi="宋体" w:eastAsia="宋体"/>
        </w:rPr>
        <w:t>二</w:t>
      </w:r>
      <w:r>
        <w:rPr>
          <w:rFonts w:ascii="宋体" w:hAnsi="宋体" w:eastAsia="宋体"/>
        </w:rPr>
        <w:t xml:space="preserve">等奖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b/>
          <w:bCs/>
        </w:rPr>
        <w:t>五、</w:t>
      </w:r>
      <w:bookmarkStart w:id="4" w:name="_Hlk155808491"/>
      <w:r>
        <w:rPr>
          <w:rFonts w:ascii="宋体" w:hAnsi="宋体" w:eastAsia="宋体"/>
          <w:b/>
          <w:bCs/>
        </w:rPr>
        <w:t>主要完成人</w:t>
      </w:r>
      <w:bookmarkEnd w:id="4"/>
      <w:r>
        <w:rPr>
          <w:rFonts w:hint="eastAsia" w:ascii="宋体" w:hAnsi="宋体" w:eastAsia="宋体"/>
          <w:b/>
          <w:bCs/>
        </w:rPr>
        <w:t>（含排序）：</w:t>
      </w:r>
      <w:bookmarkStart w:id="5" w:name="_Hlk155808500"/>
      <w:r>
        <w:rPr>
          <w:rFonts w:hint="eastAsia" w:ascii="宋体" w:hAnsi="宋体" w:eastAsia="宋体"/>
        </w:rPr>
        <w:t>薛蔚，潘家骅，秦骏，董柏君，董樑，高栋，朱鹤，季敏标，朱寅杰，罗中宝</w:t>
      </w:r>
      <w:bookmarkEnd w:id="5"/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b/>
          <w:bCs/>
        </w:rPr>
        <w:t>六、</w:t>
      </w:r>
      <w:bookmarkStart w:id="6" w:name="_Hlk155808510"/>
      <w:r>
        <w:rPr>
          <w:rFonts w:ascii="宋体" w:hAnsi="宋体" w:eastAsia="宋体"/>
          <w:b/>
          <w:bCs/>
        </w:rPr>
        <w:t>主要完成单位</w:t>
      </w:r>
      <w:r>
        <w:rPr>
          <w:rFonts w:hint="eastAsia" w:ascii="宋体" w:hAnsi="宋体" w:eastAsia="宋体"/>
          <w:b/>
          <w:bCs/>
        </w:rPr>
        <w:t>：</w:t>
      </w:r>
      <w:r>
        <w:rPr>
          <w:rFonts w:hint="eastAsia" w:ascii="宋体" w:hAnsi="宋体" w:eastAsia="宋体"/>
        </w:rPr>
        <w:t>上海交通大学医学院附属仁济医院、上海诺生医疗科技有限公司、中国科学院上海营养与健康研究所、中国科学院分子细胞科学卓越创新中心、复旦大学、上海市嘉定区中心医院</w:t>
      </w:r>
      <w:bookmarkEnd w:id="6"/>
    </w:p>
    <w:p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七</w:t>
      </w:r>
      <w:r>
        <w:rPr>
          <w:rFonts w:ascii="宋体" w:hAnsi="宋体" w:eastAsia="宋体"/>
          <w:b/>
          <w:bCs/>
        </w:rPr>
        <w:t>、</w:t>
      </w:r>
      <w:r>
        <w:rPr>
          <w:rFonts w:hint="eastAsia" w:ascii="宋体" w:hAnsi="宋体" w:eastAsia="宋体"/>
          <w:b/>
          <w:bCs/>
        </w:rPr>
        <w:t>主要知识产权和标准规范等目录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341"/>
        <w:gridCol w:w="753"/>
        <w:gridCol w:w="2318"/>
        <w:gridCol w:w="1046"/>
        <w:gridCol w:w="1346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w w:val="104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w w:val="104"/>
                <w:sz w:val="16"/>
                <w:szCs w:val="16"/>
              </w:rPr>
              <w:t>知识产权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w w:val="104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w w:val="104"/>
                <w:sz w:val="16"/>
                <w:szCs w:val="16"/>
              </w:rPr>
              <w:t xml:space="preserve">(标准)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w w:val="104"/>
                <w:sz w:val="16"/>
                <w:szCs w:val="16"/>
              </w:rPr>
              <w:t>类别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pacing w:val="-1"/>
                <w:w w:val="104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w w:val="104"/>
                <w:sz w:val="16"/>
                <w:szCs w:val="16"/>
              </w:rPr>
              <w:t>知识产权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pacing w:val="-1"/>
                <w:w w:val="104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  <w:w w:val="104"/>
                <w:sz w:val="16"/>
                <w:szCs w:val="16"/>
              </w:rPr>
              <w:t xml:space="preserve">(标准)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w w:val="104"/>
                <w:sz w:val="16"/>
                <w:szCs w:val="16"/>
              </w:rPr>
              <w:t>具体名称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国家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(地区)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pacing w:val="-1"/>
                <w:w w:val="104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w w:val="104"/>
                <w:sz w:val="16"/>
                <w:szCs w:val="16"/>
              </w:rPr>
              <w:t>授权号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  <w:w w:val="104"/>
                <w:sz w:val="16"/>
                <w:szCs w:val="16"/>
              </w:rPr>
              <w:t>(标准编号)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授权</w:t>
            </w: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(标准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发布</w:t>
            </w: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)日期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pacing w:val="-1"/>
                <w:w w:val="104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w w:val="104"/>
                <w:sz w:val="16"/>
                <w:szCs w:val="16"/>
              </w:rPr>
              <w:t>证书编号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pacing w:val="-1"/>
                <w:w w:val="104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  <w:w w:val="104"/>
                <w:sz w:val="16"/>
                <w:szCs w:val="16"/>
              </w:rPr>
              <w:t>(标准批准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w w:val="104"/>
                <w:sz w:val="16"/>
                <w:szCs w:val="16"/>
              </w:rPr>
              <w:t>发布部门）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pacing w:val="-1"/>
                <w:w w:val="104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w w:val="104"/>
                <w:sz w:val="16"/>
                <w:szCs w:val="16"/>
              </w:rPr>
              <w:t>发明专利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pacing w:val="-1"/>
                <w:w w:val="104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  <w:w w:val="104"/>
                <w:sz w:val="16"/>
                <w:szCs w:val="16"/>
              </w:rPr>
              <w:t>(标准)有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pacing w:val="-1"/>
                <w:w w:val="104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w w:val="104"/>
                <w:sz w:val="16"/>
                <w:szCs w:val="16"/>
              </w:rPr>
              <w:t>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4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授权发明专利</w:t>
            </w:r>
          </w:p>
        </w:tc>
        <w:tc>
          <w:tcPr>
            <w:tcW w:w="23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一种用于纳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/微塑料快速检测的拉曼光谱成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像系统及方法</w:t>
            </w:r>
          </w:p>
        </w:tc>
        <w:tc>
          <w:tcPr>
            <w:tcW w:w="7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212121"/>
                <w:sz w:val="18"/>
                <w:szCs w:val="18"/>
                <w:shd w:val="clear" w:color="auto" w:fill="FFFFFF"/>
              </w:rPr>
              <w:t>CN 114460060 B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2023-10-03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212121"/>
                <w:sz w:val="18"/>
                <w:szCs w:val="18"/>
                <w:shd w:val="clear" w:color="auto" w:fill="FFFFFF"/>
              </w:rPr>
              <w:t>6377829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4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其他</w:t>
            </w:r>
          </w:p>
        </w:tc>
        <w:tc>
          <w:tcPr>
            <w:tcW w:w="23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212121"/>
                <w:sz w:val="18"/>
                <w:szCs w:val="18"/>
                <w:shd w:val="clear" w:color="auto" w:fill="FFFFFF"/>
              </w:rPr>
              <w:t>Stimulated Raman Scattering Microscopy Enables Gleason Scoring of Prostate Core Needle Biopsy by a Convolutional Neural Network</w:t>
            </w:r>
          </w:p>
        </w:tc>
        <w:tc>
          <w:tcPr>
            <w:tcW w:w="7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212121"/>
                <w:sz w:val="18"/>
                <w:szCs w:val="18"/>
                <w:shd w:val="clear" w:color="auto" w:fill="FFFFFF"/>
              </w:rPr>
              <w:t>DOI: 10.1158/0008-5472.CAN-22-2146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2023-02-15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Cancer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Research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其他有效的知识产权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4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其他</w:t>
            </w:r>
          </w:p>
        </w:tc>
        <w:tc>
          <w:tcPr>
            <w:tcW w:w="23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The European Association of Urology Biochemical Recurrence Risk Groups Predict Findings on PSMA PET in Patients with Biochemically Recurrent Prostate Cancer After Radical Prostatectomy</w:t>
            </w:r>
          </w:p>
        </w:tc>
        <w:tc>
          <w:tcPr>
            <w:tcW w:w="7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DOI: 10.2967/jnumed.121.262411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2021-07-29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The Journal of Nuclear Medicine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其他有效的知识产权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其他</w:t>
            </w:r>
          </w:p>
        </w:tc>
        <w:tc>
          <w:tcPr>
            <w:tcW w:w="23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Determination of optimal 68 Ga-PSMA PET/CT imaging time in prostate cancers by total-body dynamic PET/CT</w:t>
            </w:r>
          </w:p>
        </w:tc>
        <w:tc>
          <w:tcPr>
            <w:tcW w:w="7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DOI: 10.1007/s00259-021-05659-8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2021-12-28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European Journal of Nuclear Medicine and Molecular Imaging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其他有效的知识产权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其他</w:t>
            </w:r>
          </w:p>
        </w:tc>
        <w:tc>
          <w:tcPr>
            <w:tcW w:w="23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212121"/>
                <w:sz w:val="18"/>
                <w:szCs w:val="18"/>
                <w:shd w:val="clear" w:color="auto" w:fill="FFFFFF"/>
              </w:rPr>
              <w:t>Extended Focal Ablation of Localized Prostate Cancer With High-Frequency Irreversible Electroporation: A Nonrandomized Controlled Trial</w:t>
            </w:r>
          </w:p>
        </w:tc>
        <w:tc>
          <w:tcPr>
            <w:tcW w:w="7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DOI: 10.1001/jamasurg.2022.2230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2022-07-06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JAMA Surgery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其他有效的知识产权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4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授权发明专利</w:t>
            </w:r>
          </w:p>
        </w:tc>
        <w:tc>
          <w:tcPr>
            <w:tcW w:w="23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一种脉冲电场消融参数优化系统</w:t>
            </w:r>
          </w:p>
        </w:tc>
        <w:tc>
          <w:tcPr>
            <w:tcW w:w="7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CN 112489741 B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2021-11-05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4775268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4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其他</w:t>
            </w:r>
          </w:p>
        </w:tc>
        <w:tc>
          <w:tcPr>
            <w:tcW w:w="23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212121"/>
                <w:sz w:val="18"/>
                <w:szCs w:val="18"/>
                <w:shd w:val="clear" w:color="auto" w:fill="FFFFFF"/>
              </w:rPr>
              <w:t>Comprehensive evaluation of methods for small extracellular vesicles separation from human plasma, urine and cell culture medium</w:t>
            </w:r>
          </w:p>
        </w:tc>
        <w:tc>
          <w:tcPr>
            <w:tcW w:w="7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DOI: 10.1002/jev2.12044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021-0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Journal of Extracellular Vesicles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其他有效的知识产权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4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其他</w:t>
            </w:r>
          </w:p>
        </w:tc>
        <w:tc>
          <w:tcPr>
            <w:tcW w:w="23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212121"/>
                <w:sz w:val="18"/>
                <w:szCs w:val="18"/>
                <w:shd w:val="clear" w:color="auto" w:fill="FFFFFF"/>
              </w:rPr>
              <w:t>Use of Circulating Tumor DNA for the Clinical Management of Metastatic Castration-Resistant Prostate Cancer: A Multicenter, Real-World Study</w:t>
            </w:r>
          </w:p>
        </w:tc>
        <w:tc>
          <w:tcPr>
            <w:tcW w:w="7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Doi: 10.6004/jnccn.2020.7663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021-05-14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Journal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of the National Comprehensive Cancer 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Network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其他有效的知识产权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4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其他</w:t>
            </w:r>
          </w:p>
        </w:tc>
        <w:tc>
          <w:tcPr>
            <w:tcW w:w="23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212121"/>
                <w:sz w:val="18"/>
                <w:szCs w:val="18"/>
                <w:shd w:val="clear" w:color="auto" w:fill="FFFFFF"/>
              </w:rPr>
              <w:t>Gremlin1 is a therapeutically targetable FGFR1 ligand that regulates lineage plasticity and castration resistance in prostate cancer</w:t>
            </w:r>
          </w:p>
        </w:tc>
        <w:tc>
          <w:tcPr>
            <w:tcW w:w="7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DOI: 10.1038/s43018-022-00380-3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2022-05-27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Nature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Cancer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其他有效的知识产权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4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其他</w:t>
            </w:r>
          </w:p>
        </w:tc>
        <w:tc>
          <w:tcPr>
            <w:tcW w:w="23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212121"/>
                <w:sz w:val="18"/>
                <w:szCs w:val="18"/>
                <w:shd w:val="clear" w:color="auto" w:fill="FFFFFF"/>
              </w:rPr>
              <w:t>Chromatin remodeling ATPase BRG1 and PTEN are synthetic lethal in prostate cancer</w:t>
            </w:r>
          </w:p>
        </w:tc>
        <w:tc>
          <w:tcPr>
            <w:tcW w:w="7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212121"/>
                <w:sz w:val="18"/>
                <w:szCs w:val="18"/>
                <w:shd w:val="clear" w:color="auto" w:fill="FFFFFF"/>
              </w:rPr>
              <w:t>DOI: 10.1172/JCI123557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1-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The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Journal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Clinical Investigation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其他有效的知识产权</w:t>
            </w:r>
          </w:p>
        </w:tc>
      </w:tr>
    </w:tbl>
    <w:p>
      <w:pPr>
        <w:spacing w:line="360" w:lineRule="auto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0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fontstyle01"/>
    <w:basedOn w:val="6"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2016</Characters>
  <Paragraphs>111</Paragraphs>
  <TotalTime>707</TotalTime>
  <ScaleCrop>false</ScaleCrop>
  <LinksUpToDate>false</LinksUpToDate>
  <CharactersWithSpaces>2186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2024-01-03T01:58:00Z</dcterms:created>
  <dc:creator>新星 杜</dc:creator>
  <cp:lastModifiedBy>陈祥龙</cp:lastModifiedBy>
  <cp:lastPrinted>2024-01-10T12:28:00Z</cp:lastPrinted>
  <dcterms:modified xsi:type="dcterms:W3CDTF">2024-01-12T02:14:27Z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AC8FB0C7803746A99F9B53F561DF032D_13</vt:lpwstr>
  </property>
  <property fmtid="{D5CDD505-2E9C-101B-9397-08002B2CF9AE}" pid="3" name="KSOProductBuildVer">
    <vt:lpwstr>2052-12.1.0.16250</vt:lpwstr>
  </property>
</Properties>
</file>