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  <w:lang w:val="en-US" w:eastAsia="zh-CN"/>
        </w:rPr>
        <w:t>公示材料</w:t>
      </w:r>
    </w:p>
    <w:p>
      <w:pPr>
        <w:rPr>
          <w:rFonts w:hint="default" w:ascii="微软雅黑" w:hAnsi="微软雅黑" w:eastAsia="微软雅黑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一、提名奖种：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  <w:lang w:val="en-US" w:eastAsia="zh-CN"/>
        </w:rPr>
        <w:t>国家科技进步奖</w:t>
      </w:r>
    </w:p>
    <w:p>
      <w:pPr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二、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>复杂血管瘤与脉管畸形诊疗体系的建立与应用</w:t>
      </w:r>
      <w:r>
        <w:rPr>
          <w:rFonts w:ascii="微软雅黑" w:hAnsi="微软雅黑" w:eastAsia="微软雅黑" w:cs="宋体"/>
          <w:b/>
          <w:bCs/>
          <w:color w:val="000000"/>
          <w:kern w:val="0"/>
          <w:sz w:val="28"/>
          <w:szCs w:val="28"/>
        </w:rPr>
        <w:t xml:space="preserve">   </w:t>
      </w: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提名者：</w:t>
      </w:r>
      <w:r>
        <w:rPr>
          <w:rFonts w:hint="eastAsia" w:ascii="微软雅黑" w:hAnsi="微软雅黑" w:eastAsia="微软雅黑"/>
          <w:b/>
          <w:bCs/>
          <w:sz w:val="28"/>
          <w:szCs w:val="28"/>
        </w:rPr>
        <w:t>中国医疗保健国际交流促进会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/>
          <w:sz w:val="28"/>
          <w:szCs w:val="28"/>
        </w:rPr>
        <w:t>主要完成人：</w:t>
      </w: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林晓曦</w:t>
      </w:r>
      <w:r>
        <w:rPr>
          <w:rFonts w:ascii="微软雅黑" w:hAnsi="微软雅黑" w:eastAsia="微软雅黑"/>
          <w:b/>
          <w:bCs/>
          <w:sz w:val="28"/>
          <w:szCs w:val="28"/>
        </w:rPr>
        <w:t xml:space="preserve"> 潘巍峻 华晨 金云波 陈辉 马刚 仇雅璟 杨希 于文心 应涵汝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/>
          <w:sz w:val="28"/>
          <w:szCs w:val="28"/>
        </w:rPr>
        <w:t>主要完成单位：</w:t>
      </w:r>
    </w:p>
    <w:p>
      <w:pPr>
        <w:rPr>
          <w:rFonts w:ascii="微软雅黑" w:hAnsi="微软雅黑" w:eastAsia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上海交通大学医学院附属第九人民医院</w:t>
      </w:r>
    </w:p>
    <w:p>
      <w:pPr>
        <w:rPr>
          <w:rFonts w:ascii="微软雅黑" w:hAnsi="微软雅黑" w:eastAsia="微软雅黑"/>
          <w:b/>
          <w:bCs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中国科学院上海营养与健康研究所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六、</w:t>
      </w:r>
      <w:r>
        <w:rPr>
          <w:rFonts w:hint="eastAsia" w:ascii="黑体" w:hAnsi="黑体" w:eastAsia="黑体"/>
          <w:sz w:val="28"/>
          <w:szCs w:val="28"/>
        </w:rPr>
        <w:t>主要知识产权和标准规范等目录：</w:t>
      </w:r>
    </w:p>
    <w:tbl>
      <w:tblPr>
        <w:tblStyle w:val="5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985"/>
        <w:gridCol w:w="708"/>
        <w:gridCol w:w="1134"/>
        <w:gridCol w:w="709"/>
        <w:gridCol w:w="851"/>
        <w:gridCol w:w="1275"/>
        <w:gridCol w:w="1134"/>
        <w:gridCol w:w="7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9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知识产权（标准）类别</w:t>
            </w:r>
          </w:p>
        </w:tc>
        <w:tc>
          <w:tcPr>
            <w:tcW w:w="198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知识产权（标准）具体名称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国家</w:t>
            </w:r>
          </w:p>
          <w:p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（地区）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授权号（标准编号）</w:t>
            </w:r>
          </w:p>
        </w:tc>
        <w:tc>
          <w:tcPr>
            <w:tcW w:w="709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授权（标准发布）日期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证书编号</w:t>
            </w: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（标准批准发布部门）</w:t>
            </w:r>
          </w:p>
        </w:tc>
        <w:tc>
          <w:tcPr>
            <w:tcW w:w="1275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权利人（标准起草单位）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发明人（标准起草人）</w:t>
            </w:r>
          </w:p>
        </w:tc>
        <w:tc>
          <w:tcPr>
            <w:tcW w:w="734" w:type="dxa"/>
            <w:vAlign w:val="center"/>
          </w:tcPr>
          <w:p>
            <w:pPr>
              <w:pStyle w:val="2"/>
              <w:jc w:val="center"/>
              <w:rPr>
                <w:rFonts w:ascii="Times New Roman" w:hAnsi="Times New Roman" w:cs="Times New Roman"/>
                <w:color w:val="000000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32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论文</w:t>
            </w:r>
          </w:p>
        </w:tc>
        <w:tc>
          <w:tcPr>
            <w:tcW w:w="1985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Treatment of capillary vascular malformation (port-wine stains) with photochemotherapy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中国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Plast Reconstr Surg. 1997 Jun;99(7):1826-30</w:t>
            </w:r>
          </w:p>
        </w:tc>
        <w:tc>
          <w:tcPr>
            <w:tcW w:w="70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1997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年6月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PMID: 9180705.</w:t>
            </w:r>
          </w:p>
        </w:tc>
        <w:tc>
          <w:tcPr>
            <w:tcW w:w="1275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上海交通大学医学院附属第九人民医院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林晓曦，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王</w:t>
            </w:r>
            <w:r>
              <w:rPr>
                <w:rFonts w:hint="eastAsia" w:ascii="仿宋" w:hAnsi="仿宋" w:eastAsia="仿宋" w:cs="Times New Roman"/>
                <w:color w:val="000000"/>
              </w:rPr>
              <w:t>炜</w:t>
            </w:r>
            <w:r>
              <w:rPr>
                <w:rFonts w:ascii="仿宋" w:hAnsi="仿宋" w:eastAsia="仿宋" w:cs="Times New Roman"/>
                <w:color w:val="000000"/>
              </w:rPr>
              <w:t>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张涤生等</w:t>
            </w:r>
          </w:p>
        </w:tc>
        <w:tc>
          <w:tcPr>
            <w:tcW w:w="7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9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论文</w:t>
            </w:r>
          </w:p>
        </w:tc>
        <w:tc>
          <w:tcPr>
            <w:tcW w:w="198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Treatment of Early-stage Extracranial Arteriovenous Malformations with Intralesional Interstitial Bleomycin Injection: A Pilot Study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中国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Radiology. 2018 Apr;287(1):194-204.</w:t>
            </w:r>
          </w:p>
        </w:tc>
        <w:tc>
          <w:tcPr>
            <w:tcW w:w="709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2018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年4月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doi: 10.1148/radiol.2017162076</w:t>
            </w:r>
          </w:p>
        </w:tc>
        <w:tc>
          <w:tcPr>
            <w:tcW w:w="127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上海交通大学医学院附属第九人民医院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金云波，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邹运，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华晨</w:t>
            </w:r>
            <w:r>
              <w:rPr>
                <w:rFonts w:hint="eastAsia" w:ascii="仿宋" w:hAnsi="仿宋" w:eastAsia="仿宋" w:cs="Times New Roman"/>
                <w:color w:val="000000"/>
              </w:rPr>
              <w:t>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林晓曦</w:t>
            </w:r>
            <w:r>
              <w:rPr>
                <w:rFonts w:ascii="仿宋" w:hAnsi="仿宋" w:eastAsia="仿宋" w:cs="Times New Roman"/>
                <w:color w:val="000000"/>
              </w:rPr>
              <w:t>等</w:t>
            </w:r>
          </w:p>
        </w:tc>
        <w:tc>
          <w:tcPr>
            <w:tcW w:w="7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9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论文</w:t>
            </w:r>
          </w:p>
        </w:tc>
        <w:tc>
          <w:tcPr>
            <w:tcW w:w="198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A case series of tardive expansion congenital hemangioma: A variation of noninvoluting congenital hemangioma or a new hemangiomatous entity?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中国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 Am Acad Dermatol. 2021 May;84(5):1371-1377</w:t>
            </w:r>
          </w:p>
        </w:tc>
        <w:tc>
          <w:tcPr>
            <w:tcW w:w="709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2021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年5月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doi: 10.1016/j.jaad.2020.01.069</w:t>
            </w:r>
          </w:p>
        </w:tc>
        <w:tc>
          <w:tcPr>
            <w:tcW w:w="127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上海交通大学医学院附属第九人民医院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华晨，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金云波，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林晓曦等</w:t>
            </w:r>
          </w:p>
        </w:tc>
        <w:tc>
          <w:tcPr>
            <w:tcW w:w="7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9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论文</w:t>
            </w:r>
          </w:p>
        </w:tc>
        <w:tc>
          <w:tcPr>
            <w:tcW w:w="198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Endothelial CDS2 deficiency causes VEGFA-mediated vascular regression and tumor inhibition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中国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Cell Res. 2019 Nov;29(11):895-910</w:t>
            </w:r>
          </w:p>
        </w:tc>
        <w:tc>
          <w:tcPr>
            <w:tcW w:w="709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2019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年1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月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doi: 10.1038/s41422-019-0229-5</w:t>
            </w:r>
          </w:p>
        </w:tc>
        <w:tc>
          <w:tcPr>
            <w:tcW w:w="1275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中国科学院上海营养与健康研究所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赵稳操，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林晓曦，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潘巍峻等</w:t>
            </w:r>
          </w:p>
        </w:tc>
        <w:tc>
          <w:tcPr>
            <w:tcW w:w="7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论文</w:t>
            </w:r>
          </w:p>
        </w:tc>
        <w:tc>
          <w:tcPr>
            <w:tcW w:w="198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Effects of Botulinum Toxin on Improving Facial Surgical Scars: A Prospective, Split-Scar, Double-Blind, Randomized Controlled Trial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中国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Plast Reconstr Surg. 2018 Mar;141(3):646-650</w:t>
            </w:r>
          </w:p>
        </w:tc>
        <w:tc>
          <w:tcPr>
            <w:tcW w:w="70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2018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年3月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doi: 10.1097/PRS.0000000000004110</w:t>
            </w:r>
          </w:p>
        </w:tc>
        <w:tc>
          <w:tcPr>
            <w:tcW w:w="1275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上海交通大学医学院附属第九人民医院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胡丽，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金云波，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林晓曦等</w:t>
            </w:r>
          </w:p>
        </w:tc>
        <w:tc>
          <w:tcPr>
            <w:tcW w:w="7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论文</w:t>
            </w:r>
          </w:p>
        </w:tc>
        <w:tc>
          <w:tcPr>
            <w:tcW w:w="198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Why do port-wine stains (PWS) on the lateral face respond better to pulsed dye laser (PDL) than those located on the central face?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中国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J Am Acad Dermatol. 2016 Mar;74(3):527-35</w:t>
            </w:r>
          </w:p>
        </w:tc>
        <w:tc>
          <w:tcPr>
            <w:tcW w:w="70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2016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年3月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doi: 10.1016/j.jaad.2015.08.026</w:t>
            </w:r>
          </w:p>
        </w:tc>
        <w:tc>
          <w:tcPr>
            <w:tcW w:w="1275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上海交通大学医学院附属第九人民医院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于文心，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马刚，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林晓曦等</w:t>
            </w:r>
          </w:p>
        </w:tc>
        <w:tc>
          <w:tcPr>
            <w:tcW w:w="7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论文</w:t>
            </w:r>
          </w:p>
        </w:tc>
        <w:tc>
          <w:tcPr>
            <w:tcW w:w="1985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Imiquimod 5% cream versus timolol 0.5% ophthalmic solution for treating superficial proliferating infantile haemangiomas: a retrospective study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中国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Clin Exp Dermatol. 2013 Dec;38(8):845-50</w:t>
            </w:r>
          </w:p>
        </w:tc>
        <w:tc>
          <w:tcPr>
            <w:tcW w:w="70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2013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年1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月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doi: 10.1111/ced.12150</w:t>
            </w:r>
          </w:p>
        </w:tc>
        <w:tc>
          <w:tcPr>
            <w:tcW w:w="1275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上海交通大学医学院附属第九人民医院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仇雅璟，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马刚，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林晓曦等</w:t>
            </w:r>
          </w:p>
        </w:tc>
        <w:tc>
          <w:tcPr>
            <w:tcW w:w="7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论文</w:t>
            </w:r>
          </w:p>
        </w:tc>
        <w:tc>
          <w:tcPr>
            <w:tcW w:w="1985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Sclerotherapy after embolization of draining vein: a safe treatment method for venous malformations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中国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J Vasc Surg. 2008 Jun;47(6):1292-9</w:t>
            </w:r>
          </w:p>
        </w:tc>
        <w:tc>
          <w:tcPr>
            <w:tcW w:w="70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2008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年6月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doi: 10.1016/j.jvs.2008.01.010</w:t>
            </w:r>
          </w:p>
        </w:tc>
        <w:tc>
          <w:tcPr>
            <w:tcW w:w="1275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上海交通大学医学院附属第九人民医院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金云波，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林晓曦，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王炜</w:t>
            </w:r>
            <w:r>
              <w:rPr>
                <w:rFonts w:ascii="仿宋" w:hAnsi="仿宋" w:eastAsia="仿宋" w:cs="Times New Roman"/>
                <w:color w:val="000000"/>
              </w:rPr>
              <w:t>等</w:t>
            </w:r>
          </w:p>
        </w:tc>
        <w:tc>
          <w:tcPr>
            <w:tcW w:w="7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69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论文</w:t>
            </w:r>
          </w:p>
        </w:tc>
        <w:tc>
          <w:tcPr>
            <w:tcW w:w="1985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Auricular Arteriovenous Malformations: Potential Success of Superselective Ethanol Embolotherapy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中国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J Vasc Interv Radiol. 2009, 20(6): 736-744</w:t>
            </w:r>
          </w:p>
        </w:tc>
        <w:tc>
          <w:tcPr>
            <w:tcW w:w="70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2009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年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月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doi: 10.1016/j.jvir.2009.02.008</w:t>
            </w:r>
          </w:p>
        </w:tc>
        <w:tc>
          <w:tcPr>
            <w:tcW w:w="1275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上海交通大学医学院附属第九人民医院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金云波</w:t>
            </w:r>
            <w:r>
              <w:rPr>
                <w:rFonts w:ascii="仿宋" w:hAnsi="仿宋" w:eastAsia="仿宋" w:cs="Times New Roman"/>
                <w:color w:val="000000"/>
              </w:rPr>
              <w:t>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林晓曦，</w:t>
            </w:r>
          </w:p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王</w:t>
            </w:r>
            <w:r>
              <w:rPr>
                <w:rFonts w:hint="eastAsia" w:ascii="仿宋" w:hAnsi="仿宋" w:eastAsia="仿宋" w:cs="Times New Roman"/>
                <w:color w:val="000000"/>
              </w:rPr>
              <w:t>炜</w:t>
            </w:r>
            <w:r>
              <w:rPr>
                <w:rFonts w:ascii="仿宋" w:hAnsi="仿宋" w:eastAsia="仿宋" w:cs="Times New Roman"/>
                <w:color w:val="000000"/>
              </w:rPr>
              <w:t>等</w:t>
            </w:r>
          </w:p>
        </w:tc>
        <w:tc>
          <w:tcPr>
            <w:tcW w:w="7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其他有效的知识产权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9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指南</w:t>
            </w:r>
          </w:p>
        </w:tc>
        <w:tc>
          <w:tcPr>
            <w:tcW w:w="1985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血管瘤和脉管畸形诊断和治疗指南（2016版）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中国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组织工程与重建外科杂志</w:t>
            </w:r>
            <w:r>
              <w:rPr>
                <w:rFonts w:ascii="Times New Roman" w:hAnsi="Times New Roman" w:eastAsia="仿宋_GB2312" w:cs="Times New Roman"/>
                <w:color w:val="000000"/>
              </w:rPr>
              <w:t>[J]. 2016,12(2):63-93,97</w:t>
            </w:r>
          </w:p>
        </w:tc>
        <w:tc>
          <w:tcPr>
            <w:tcW w:w="709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ascii="Times New Roman" w:hAnsi="Times New Roman" w:eastAsia="仿宋_GB2312" w:cs="Times New Roman"/>
                <w:color w:val="000000"/>
              </w:rPr>
              <w:t>2016</w:t>
            </w:r>
            <w:r>
              <w:rPr>
                <w:rFonts w:hint="eastAsia" w:ascii="Times New Roman" w:hAnsi="Times New Roman" w:eastAsia="仿宋_GB2312" w:cs="Times New Roman"/>
                <w:color w:val="000000"/>
              </w:rPr>
              <w:t>年4月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无</w:t>
            </w:r>
          </w:p>
        </w:tc>
        <w:tc>
          <w:tcPr>
            <w:tcW w:w="1275" w:type="dxa"/>
          </w:tcPr>
          <w:p>
            <w:pPr>
              <w:pStyle w:val="2"/>
              <w:jc w:val="left"/>
              <w:rPr>
                <w:rFonts w:ascii="Times New Roman" w:hAnsi="Times New Roman" w:eastAsia="仿宋_GB2312" w:cs="Times New Roman"/>
                <w:color w:val="00000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</w:rPr>
              <w:t>中华医学会整形外科分会血管瘤和脉管畸形学组</w:t>
            </w:r>
          </w:p>
        </w:tc>
        <w:tc>
          <w:tcPr>
            <w:tcW w:w="11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ascii="仿宋" w:hAnsi="仿宋" w:eastAsia="仿宋" w:cs="Times New Roman"/>
                <w:color w:val="000000"/>
              </w:rPr>
              <w:t>林晓曦</w:t>
            </w:r>
            <w:r>
              <w:rPr>
                <w:rFonts w:hint="eastAsia" w:ascii="仿宋" w:hAnsi="仿宋" w:eastAsia="仿宋" w:cs="Times New Roman"/>
                <w:color w:val="000000"/>
              </w:rPr>
              <w:t>（通讯作者）</w:t>
            </w:r>
            <w:r>
              <w:rPr>
                <w:rFonts w:ascii="仿宋" w:hAnsi="仿宋" w:eastAsia="仿宋" w:cs="Times New Roman"/>
                <w:color w:val="000000"/>
              </w:rPr>
              <w:t>等</w:t>
            </w:r>
          </w:p>
        </w:tc>
        <w:tc>
          <w:tcPr>
            <w:tcW w:w="734" w:type="dxa"/>
          </w:tcPr>
          <w:p>
            <w:pPr>
              <w:pStyle w:val="2"/>
              <w:jc w:val="left"/>
              <w:rPr>
                <w:rFonts w:ascii="仿宋" w:hAnsi="仿宋" w:eastAsia="仿宋" w:cs="Times New Roman"/>
                <w:color w:val="000000"/>
              </w:rPr>
            </w:pPr>
            <w:r>
              <w:rPr>
                <w:rFonts w:hint="eastAsia" w:ascii="仿宋" w:hAnsi="仿宋" w:eastAsia="仿宋" w:cs="Times New Roman"/>
                <w:color w:val="000000"/>
              </w:rPr>
              <w:t>其他有效的知识产权</w:t>
            </w:r>
          </w:p>
        </w:tc>
      </w:tr>
    </w:tbl>
    <w:p>
      <w:pPr>
        <w:rPr>
          <w:szCs w:val="21"/>
        </w:rPr>
      </w:pPr>
    </w:p>
    <w:p>
      <w:pPr>
        <w:rPr>
          <w:rFonts w:ascii="黑体" w:hAns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xNjNiNzE1YTVkNDkzZWRjZWNlNTM4NmE3M2NjMzQifQ=="/>
  </w:docVars>
  <w:rsids>
    <w:rsidRoot w:val="00A30DC8"/>
    <w:rsid w:val="00103082"/>
    <w:rsid w:val="0037003F"/>
    <w:rsid w:val="00471521"/>
    <w:rsid w:val="00481216"/>
    <w:rsid w:val="00481A0E"/>
    <w:rsid w:val="004F0051"/>
    <w:rsid w:val="005257FB"/>
    <w:rsid w:val="00546EEB"/>
    <w:rsid w:val="005D6A93"/>
    <w:rsid w:val="00741C1E"/>
    <w:rsid w:val="007C779B"/>
    <w:rsid w:val="00817214"/>
    <w:rsid w:val="00851138"/>
    <w:rsid w:val="008E3176"/>
    <w:rsid w:val="009373BD"/>
    <w:rsid w:val="00A30DC8"/>
    <w:rsid w:val="00A507A4"/>
    <w:rsid w:val="00CB6A39"/>
    <w:rsid w:val="00D82F62"/>
    <w:rsid w:val="00F60153"/>
    <w:rsid w:val="5F4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384</Words>
  <Characters>2195</Characters>
  <Lines>18</Lines>
  <Paragraphs>5</Paragraphs>
  <TotalTime>2</TotalTime>
  <ScaleCrop>false</ScaleCrop>
  <LinksUpToDate>false</LinksUpToDate>
  <CharactersWithSpaces>2574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2024-01-06T11:36:00Z</dcterms:created>
  <dc:creator>son wor</dc:creator>
  <cp:lastModifiedBy>陈祥龙</cp:lastModifiedBy>
  <dcterms:modified xsi:type="dcterms:W3CDTF">2024-01-08T02:23:15Z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8C6346B4FDEA48C3A05054927B49C211_13</vt:lpwstr>
  </property>
</Properties>
</file>